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FAAAF" w14:textId="3351EAD2" w:rsidR="004A1031" w:rsidRDefault="004A1031" w:rsidP="004A1031">
      <w:pPr>
        <w:tabs>
          <w:tab w:val="left" w:pos="1985"/>
        </w:tabs>
        <w:rPr>
          <w:rFonts w:ascii="Arial" w:hAnsi="Arial" w:cs="Arial"/>
          <w:sz w:val="24"/>
          <w:szCs w:val="24"/>
        </w:rPr>
      </w:pPr>
      <w:r>
        <w:rPr>
          <w:rFonts w:ascii="Arial" w:hAnsi="Arial" w:cs="Arial"/>
          <w:sz w:val="24"/>
          <w:szCs w:val="24"/>
        </w:rPr>
        <w:t>3GPP TSG-RAN WG4 Meeting #9</w:t>
      </w:r>
      <w:r w:rsidR="00FE2F4F">
        <w:rPr>
          <w:rFonts w:ascii="Arial" w:hAnsi="Arial" w:cs="Arial"/>
          <w:sz w:val="24"/>
          <w:szCs w:val="24"/>
        </w:rPr>
        <w:t>2</w:t>
      </w:r>
      <w:r w:rsidR="000E7C57">
        <w:rPr>
          <w:rFonts w:ascii="Arial" w:hAnsi="Arial" w:cs="Arial" w:hint="eastAsia"/>
          <w:sz w:val="24"/>
          <w:szCs w:val="24"/>
          <w:lang w:eastAsia="zh-CN"/>
        </w:rPr>
        <w:t>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B1A49" w:rsidRPr="00DB1A49">
        <w:rPr>
          <w:rFonts w:ascii="Arial" w:hAnsi="Arial" w:cs="Arial"/>
          <w:sz w:val="24"/>
          <w:szCs w:val="24"/>
        </w:rPr>
        <w:t>R4-19</w:t>
      </w:r>
      <w:r w:rsidR="000E7C57">
        <w:rPr>
          <w:rFonts w:ascii="Arial" w:hAnsi="Arial" w:cs="Arial"/>
          <w:sz w:val="24"/>
          <w:szCs w:val="24"/>
        </w:rPr>
        <w:t>1</w:t>
      </w:r>
      <w:r w:rsidR="00F167D5">
        <w:rPr>
          <w:rFonts w:ascii="Arial" w:hAnsi="Arial" w:cs="Arial"/>
          <w:sz w:val="24"/>
          <w:szCs w:val="24"/>
        </w:rPr>
        <w:t>3523</w:t>
      </w:r>
    </w:p>
    <w:p w14:paraId="3363D018" w14:textId="5B9E86F5" w:rsidR="004A1031" w:rsidRDefault="00195DE0" w:rsidP="004A1031">
      <w:pPr>
        <w:tabs>
          <w:tab w:val="left" w:pos="1985"/>
        </w:tabs>
        <w:rPr>
          <w:rFonts w:ascii="Arial" w:hAnsi="Arial" w:cs="Arial"/>
          <w:sz w:val="24"/>
          <w:szCs w:val="24"/>
        </w:rPr>
      </w:pPr>
      <w:r>
        <w:rPr>
          <w:rFonts w:ascii="Arial" w:hAnsi="Arial" w:cs="Arial"/>
          <w:sz w:val="24"/>
          <w:szCs w:val="24"/>
          <w:lang w:eastAsia="zh-CN"/>
        </w:rPr>
        <w:t>Reno</w:t>
      </w:r>
      <w:r w:rsidR="004A1031">
        <w:rPr>
          <w:rFonts w:ascii="Arial" w:hAnsi="Arial" w:cs="Arial"/>
          <w:sz w:val="24"/>
          <w:szCs w:val="24"/>
        </w:rPr>
        <w:t xml:space="preserve">, </w:t>
      </w:r>
      <w:r>
        <w:rPr>
          <w:rFonts w:ascii="Arial" w:hAnsi="Arial" w:cs="Arial"/>
          <w:sz w:val="24"/>
          <w:szCs w:val="24"/>
        </w:rPr>
        <w:t>USA</w:t>
      </w:r>
      <w:r w:rsidR="004A1031">
        <w:rPr>
          <w:rFonts w:ascii="Arial" w:hAnsi="Arial" w:cs="Arial"/>
          <w:sz w:val="24"/>
          <w:szCs w:val="24"/>
        </w:rPr>
        <w:t xml:space="preserve">, </w:t>
      </w:r>
      <w:r w:rsidR="000E7C57">
        <w:rPr>
          <w:rFonts w:ascii="Arial" w:hAnsi="Arial" w:cs="Arial"/>
          <w:sz w:val="24"/>
          <w:szCs w:val="24"/>
        </w:rPr>
        <w:t>1</w:t>
      </w:r>
      <w:r>
        <w:rPr>
          <w:rFonts w:ascii="Arial" w:hAnsi="Arial" w:cs="Arial"/>
          <w:sz w:val="24"/>
          <w:szCs w:val="24"/>
        </w:rPr>
        <w:t>8</w:t>
      </w:r>
      <w:r w:rsidR="004A1031" w:rsidRPr="00794E13">
        <w:rPr>
          <w:rFonts w:ascii="Arial" w:hAnsi="Arial" w:cs="Arial"/>
          <w:sz w:val="24"/>
          <w:szCs w:val="24"/>
          <w:vertAlign w:val="superscript"/>
        </w:rPr>
        <w:t>th</w:t>
      </w:r>
      <w:r w:rsidR="004A1031">
        <w:rPr>
          <w:rFonts w:ascii="Arial" w:hAnsi="Arial" w:cs="Arial"/>
          <w:sz w:val="24"/>
          <w:szCs w:val="24"/>
        </w:rPr>
        <w:t xml:space="preserve"> – </w:t>
      </w:r>
      <w:r>
        <w:rPr>
          <w:rFonts w:ascii="Arial" w:hAnsi="Arial" w:cs="Arial"/>
          <w:sz w:val="24"/>
          <w:szCs w:val="24"/>
        </w:rPr>
        <w:t>22</w:t>
      </w:r>
      <w:r w:rsidR="004A1031" w:rsidRPr="00CA7D4B">
        <w:rPr>
          <w:rFonts w:ascii="Arial" w:hAnsi="Arial" w:cs="Arial"/>
          <w:sz w:val="24"/>
          <w:szCs w:val="24"/>
          <w:vertAlign w:val="superscript"/>
        </w:rPr>
        <w:t>th</w:t>
      </w:r>
      <w:r w:rsidR="004A1031">
        <w:rPr>
          <w:rFonts w:ascii="Arial" w:hAnsi="Arial" w:cs="Arial"/>
          <w:sz w:val="24"/>
          <w:szCs w:val="24"/>
        </w:rPr>
        <w:t xml:space="preserve"> </w:t>
      </w:r>
      <w:r>
        <w:rPr>
          <w:rFonts w:ascii="Arial" w:hAnsi="Arial" w:cs="Arial"/>
          <w:sz w:val="24"/>
          <w:szCs w:val="24"/>
        </w:rPr>
        <w:t>November</w:t>
      </w:r>
      <w:r w:rsidR="004A1031">
        <w:rPr>
          <w:rFonts w:ascii="Arial" w:hAnsi="Arial" w:cs="Arial"/>
          <w:sz w:val="24"/>
          <w:szCs w:val="24"/>
        </w:rPr>
        <w:t xml:space="preserve">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001E72C" w14:textId="4920124A"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0E7C57">
        <w:rPr>
          <w:rFonts w:ascii="Arial" w:hAnsi="Arial" w:cs="Arial"/>
        </w:rPr>
        <w:t>Samsung</w:t>
      </w:r>
    </w:p>
    <w:p w14:paraId="540E6165" w14:textId="3BE7B8E0"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ED6879" w:rsidRPr="00ED6879">
        <w:rPr>
          <w:rFonts w:ascii="Arial" w:hAnsi="Arial" w:cs="Arial"/>
        </w:rPr>
        <w:t xml:space="preserve">Discussion on polarization </w:t>
      </w:r>
      <w:r w:rsidR="006441F3">
        <w:rPr>
          <w:rFonts w:ascii="Arial" w:hAnsi="Arial" w:cs="Arial"/>
        </w:rPr>
        <w:t xml:space="preserve">mismatch </w:t>
      </w:r>
      <w:r w:rsidR="00F90799">
        <w:rPr>
          <w:rFonts w:ascii="Arial" w:hAnsi="Arial" w:cs="Arial"/>
        </w:rPr>
        <w:t>for</w:t>
      </w:r>
      <w:r w:rsidR="006441F3">
        <w:rPr>
          <w:rFonts w:ascii="Arial" w:hAnsi="Arial" w:cs="Arial"/>
        </w:rPr>
        <w:t xml:space="preserve"> UL T</w:t>
      </w:r>
      <w:r w:rsidR="006441F3">
        <w:rPr>
          <w:rFonts w:ascii="Arial" w:hAnsi="Arial" w:cs="Arial" w:hint="eastAsia"/>
          <w:lang w:eastAsia="zh-CN"/>
        </w:rPr>
        <w:t>X</w:t>
      </w:r>
      <w:r w:rsidR="006441F3">
        <w:rPr>
          <w:rFonts w:ascii="Arial" w:hAnsi="Arial" w:cs="Arial"/>
          <w:lang w:eastAsia="zh-CN"/>
        </w:rPr>
        <w:t xml:space="preserve"> test</w:t>
      </w:r>
    </w:p>
    <w:p w14:paraId="46BB346F" w14:textId="74352145"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842CF5">
        <w:rPr>
          <w:rFonts w:ascii="Arial" w:hAnsi="Arial" w:cs="Arial"/>
        </w:rPr>
        <w:t>11.5</w:t>
      </w:r>
      <w:r w:rsidR="00ED6879">
        <w:rPr>
          <w:rFonts w:ascii="Arial" w:hAnsi="Arial" w:cs="Arial"/>
        </w:rPr>
        <w:t>.2</w:t>
      </w:r>
    </w:p>
    <w:p w14:paraId="12B3F2E2" w14:textId="4AAC5B3C"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85610D">
        <w:rPr>
          <w:rFonts w:ascii="Arial" w:hAnsi="Arial" w:cs="Arial"/>
          <w:bCs/>
        </w:rPr>
        <w:t>Approval</w:t>
      </w:r>
    </w:p>
    <w:p w14:paraId="6C4655B7" w14:textId="403C40D8"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2E594AA3" w14:textId="2AC43EDE" w:rsidR="00B95700" w:rsidRDefault="00631BF7" w:rsidP="00F44E9A">
      <w:pPr>
        <w:pStyle w:val="BodyText"/>
        <w:rPr>
          <w:lang w:eastAsia="zh-CN"/>
        </w:rPr>
      </w:pPr>
      <w:r>
        <w:rPr>
          <w:lang w:eastAsia="zh-CN"/>
        </w:rPr>
        <w:t xml:space="preserve">Polarization mismatch has been discussed in many meetings in testability study item, the original intention is to capture the polarization gain of UE in test method to align with core requirement. </w:t>
      </w:r>
      <w:r w:rsidR="00C17440">
        <w:rPr>
          <w:lang w:eastAsia="zh-CN"/>
        </w:rPr>
        <w:t xml:space="preserve">In RAN#85 plenary meeting, it is captured in testability enhancement study item as Objective 2, especially for the UEs supporting </w:t>
      </w:r>
      <w:r w:rsidR="00C17440" w:rsidRPr="00C17440">
        <w:rPr>
          <w:lang w:eastAsia="zh-CN"/>
        </w:rPr>
        <w:t>polarization-specific beam correspondence</w:t>
      </w:r>
      <w:r w:rsidR="00C17440">
        <w:rPr>
          <w:lang w:eastAsia="zh-CN"/>
        </w:rPr>
        <w:t xml:space="preserve"> as described in the SID [1], reproduced as below:</w:t>
      </w:r>
    </w:p>
    <w:p w14:paraId="2DA42901" w14:textId="07FBE5F2" w:rsidR="00B62C94" w:rsidRDefault="00C4709D" w:rsidP="00F44E9A">
      <w:pPr>
        <w:pStyle w:val="BodyText"/>
        <w:rPr>
          <w:lang w:eastAsia="zh-CN"/>
        </w:rPr>
      </w:pPr>
      <w:r>
        <w:rPr>
          <w:noProof/>
          <w:lang w:eastAsia="zh-CN"/>
        </w:rPr>
        <mc:AlternateContent>
          <mc:Choice Requires="wps">
            <w:drawing>
              <wp:inline distT="0" distB="0" distL="0" distR="0" wp14:anchorId="65B1192D" wp14:editId="561FD041">
                <wp:extent cx="6241415" cy="1404620"/>
                <wp:effectExtent l="0" t="0" r="26035"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45AC8F22" w14:textId="77777777" w:rsidR="00C4709D" w:rsidRPr="00C17440" w:rsidRDefault="00C4709D" w:rsidP="00C4709D">
                            <w:pPr>
                              <w:overflowPunct w:val="0"/>
                              <w:autoSpaceDE w:val="0"/>
                              <w:autoSpaceDN w:val="0"/>
                              <w:adjustRightInd w:val="0"/>
                              <w:textAlignment w:val="baseline"/>
                              <w:rPr>
                                <w:rFonts w:ascii="Arial" w:eastAsia="Malgun Gothic" w:hAnsi="Arial" w:cs="Arial"/>
                                <w:b/>
                                <w:highlight w:val="green"/>
                                <w:lang w:eastAsia="ko-KR"/>
                              </w:rPr>
                            </w:pPr>
                            <w:r w:rsidRPr="00C17440">
                              <w:rPr>
                                <w:rFonts w:eastAsia="等线"/>
                                <w:lang w:eastAsia="en-GB"/>
                              </w:rPr>
                              <w:t xml:space="preserve">Some </w:t>
                            </w:r>
                            <w:r w:rsidRPr="00C17440">
                              <w:rPr>
                                <w:rFonts w:eastAsia="等线"/>
                                <w:highlight w:val="yellow"/>
                                <w:lang w:eastAsia="en-GB"/>
                              </w:rPr>
                              <w:t>UE implementations may support polarization-specific beam correspondence</w:t>
                            </w:r>
                            <w:r w:rsidRPr="00C17440">
                              <w:rPr>
                                <w:rFonts w:eastAsia="等线"/>
                                <w:lang w:eastAsia="en-GB"/>
                              </w:rPr>
                              <w:t xml:space="preserve">, where the selection of the transmit beam polarizations is dependent on the power received on each UE polarization.  Because polarization gain has been assumed in the derivation of the maximum output power (MOP) EIRP (peak and spherical coverage) requirements, the measurement procedures for those test cases should reflect the polarization gain at all test points.  The polarization basis mismatch between the test equipment and UE may lead such UEs to disable a Tx chain associated with one DL polarization and may result in an EIRP measurement which </w:t>
                            </w:r>
                            <w:r w:rsidRPr="00C17440">
                              <w:rPr>
                                <w:rFonts w:eastAsia="等线"/>
                                <w:highlight w:val="yellow"/>
                                <w:lang w:eastAsia="en-GB"/>
                              </w:rPr>
                              <w:t>fails to include the polarization gain</w:t>
                            </w:r>
                            <w:r w:rsidRPr="00C17440">
                              <w:rPr>
                                <w:rFonts w:eastAsia="等线"/>
                                <w:lang w:eastAsia="en-GB"/>
                              </w:rPr>
                              <w:t xml:space="preserve"> at some test points.</w:t>
                            </w:r>
                          </w:p>
                        </w:txbxContent>
                      </wps:txbx>
                      <wps:bodyPr rot="0" vert="horz" wrap="square" lIns="91440" tIns="45720" rIns="91440" bIns="45720" anchor="t" anchorCtr="0">
                        <a:spAutoFit/>
                      </wps:bodyPr>
                    </wps:wsp>
                  </a:graphicData>
                </a:graphic>
              </wp:inline>
            </w:drawing>
          </mc:Choice>
          <mc:Fallback>
            <w:pict>
              <v:shapetype w14:anchorId="65B1192D" id="_x0000_t202" coordsize="21600,21600" o:spt="202" path="m,l,21600r21600,l21600,xe">
                <v:stroke joinstyle="miter"/>
                <v:path gradientshapeok="t" o:connecttype="rect"/>
              </v:shapetype>
              <v:shape id="Text Box 2" o:spid="_x0000_s1026"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">
                <v:textbox style="mso-fit-shape-to-text:t">
                  <w:txbxContent>
                    <w:p w14:paraId="45AC8F22" w14:textId="77777777" w:rsidR="00C4709D" w:rsidRPr="00C17440" w:rsidRDefault="00C4709D" w:rsidP="00C4709D">
                      <w:pPr>
                        <w:overflowPunct w:val="0"/>
                        <w:autoSpaceDE w:val="0"/>
                        <w:autoSpaceDN w:val="0"/>
                        <w:adjustRightInd w:val="0"/>
                        <w:textAlignment w:val="baseline"/>
                        <w:rPr>
                          <w:rFonts w:ascii="Arial" w:eastAsia="Malgun Gothic" w:hAnsi="Arial" w:cs="Arial"/>
                          <w:b/>
                          <w:highlight w:val="green"/>
                          <w:lang w:eastAsia="ko-KR"/>
                        </w:rPr>
                      </w:pPr>
                      <w:r w:rsidRPr="00C17440">
                        <w:rPr>
                          <w:rFonts w:eastAsia="等线"/>
                          <w:lang w:eastAsia="en-GB"/>
                        </w:rPr>
                        <w:t xml:space="preserve">Some </w:t>
                      </w:r>
                      <w:r w:rsidRPr="00C17440">
                        <w:rPr>
                          <w:rFonts w:eastAsia="等线"/>
                          <w:highlight w:val="yellow"/>
                          <w:lang w:eastAsia="en-GB"/>
                        </w:rPr>
                        <w:t>UE implementations may support polarization-specific beam correspondence</w:t>
                      </w:r>
                      <w:r w:rsidRPr="00C17440">
                        <w:rPr>
                          <w:rFonts w:eastAsia="等线"/>
                          <w:lang w:eastAsia="en-GB"/>
                        </w:rPr>
                        <w:t xml:space="preserve">, where the selection of the transmit beam polarizations is dependent on the power received on each UE polarization.  Because polarization gain has been assumed in the derivation of the maximum output power (MOP) EIRP (peak and spherical coverage) requirements, the measurement procedures for those test cases should reflect the polarization gain at all test points.  The polarization basis mismatch between the test equipment and UE may lead such UEs to disable a Tx chain associated with one DL polarization and may result in an EIRP measurement which </w:t>
                      </w:r>
                      <w:r w:rsidRPr="00C17440">
                        <w:rPr>
                          <w:rFonts w:eastAsia="等线"/>
                          <w:highlight w:val="yellow"/>
                          <w:lang w:eastAsia="en-GB"/>
                        </w:rPr>
                        <w:t>fails to include the polarization gain</w:t>
                      </w:r>
                      <w:r w:rsidRPr="00C17440">
                        <w:rPr>
                          <w:rFonts w:eastAsia="等线"/>
                          <w:lang w:eastAsia="en-GB"/>
                        </w:rPr>
                        <w:t xml:space="preserve"> at some test points.</w:t>
                      </w:r>
                    </w:p>
                  </w:txbxContent>
                </v:textbox>
                <w10:anchorlock/>
              </v:shape>
            </w:pict>
          </mc:Fallback>
        </mc:AlternateContent>
      </w:r>
    </w:p>
    <w:p w14:paraId="5AFBAA36" w14:textId="7EC557D2" w:rsidR="009F2D87" w:rsidRDefault="002E7410" w:rsidP="002E7410">
      <w:pPr>
        <w:pStyle w:val="BodyText"/>
      </w:pPr>
      <w:r>
        <w:rPr>
          <w:lang w:eastAsia="zh-CN"/>
        </w:rPr>
        <w:t>To achieve this objective on polarization gain, some possible enhancements are given in SID [1], including d</w:t>
      </w:r>
      <w:r w:rsidRPr="002E7410">
        <w:rPr>
          <w:lang w:eastAsia="zh-CN"/>
        </w:rPr>
        <w:t>ownlink polarization sweeping by the test equipment</w:t>
      </w:r>
      <w:r>
        <w:rPr>
          <w:lang w:eastAsia="zh-CN"/>
        </w:rPr>
        <w:t xml:space="preserve">, </w:t>
      </w:r>
      <w:r>
        <w:t>and t</w:t>
      </w:r>
      <w:r w:rsidRPr="009B2E5A">
        <w:t xml:space="preserve">he use of circular polarization to perform </w:t>
      </w:r>
      <w:r>
        <w:t>measurements</w:t>
      </w:r>
      <w:r w:rsidR="00B95700">
        <w:rPr>
          <w:lang w:eastAsia="zh-CN"/>
        </w:rPr>
        <w:t>.</w:t>
      </w:r>
      <w:r>
        <w:rPr>
          <w:lang w:eastAsia="zh-CN"/>
        </w:rPr>
        <w:t xml:space="preserve"> </w:t>
      </w:r>
      <w:r w:rsidR="006441F3">
        <w:rPr>
          <w:lang w:eastAsia="zh-CN"/>
        </w:rPr>
        <w:t xml:space="preserve">Another intention for polarization mismatch issue is for UL transmit signal quality measurement aspects due to TX diversity scheme. </w:t>
      </w:r>
      <w:r w:rsidR="00B95700">
        <w:t xml:space="preserve">In this paper </w:t>
      </w:r>
      <w:r>
        <w:t xml:space="preserve">we analyze the feasibility of </w:t>
      </w:r>
      <w:r w:rsidR="006441F3">
        <w:t>some possible enhancements</w:t>
      </w:r>
      <w:r>
        <w:t xml:space="preserve">, and give some proposals on some possible directions to </w:t>
      </w:r>
      <w:r w:rsidR="006441F3">
        <w:t>simplify the polarization mismatch issue for UL TX test</w:t>
      </w:r>
      <w:r>
        <w:t>.</w:t>
      </w:r>
    </w:p>
    <w:p w14:paraId="4B58E87B" w14:textId="77777777" w:rsidR="001B744F" w:rsidRPr="00101A9A" w:rsidRDefault="001B744F" w:rsidP="001B744F">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51DB0FBC" w14:textId="77777777" w:rsidR="00F709FD" w:rsidRDefault="00F3099A" w:rsidP="001B744F">
      <w:pPr>
        <w:pStyle w:val="BodyText"/>
        <w:rPr>
          <w:lang w:eastAsia="zh-CN"/>
        </w:rPr>
      </w:pPr>
      <w:r>
        <w:t>Testability has high relationship with UE architecture assumption</w:t>
      </w:r>
      <w:r w:rsidR="00F826F4">
        <w:rPr>
          <w:lang w:eastAsia="zh-CN"/>
        </w:rPr>
        <w:t>.</w:t>
      </w:r>
      <w:r>
        <w:rPr>
          <w:lang w:eastAsia="zh-CN"/>
        </w:rPr>
        <w:t xml:space="preserve"> For convenience, we can categorize UE as 1TX UE and 2TX UE. </w:t>
      </w:r>
    </w:p>
    <w:p w14:paraId="4147F5DE" w14:textId="77777777" w:rsidR="00F709FD" w:rsidRDefault="00F3099A" w:rsidP="00F709FD">
      <w:pPr>
        <w:pStyle w:val="BodyText"/>
        <w:numPr>
          <w:ilvl w:val="0"/>
          <w:numId w:val="28"/>
        </w:numPr>
        <w:rPr>
          <w:lang w:eastAsia="zh-CN"/>
        </w:rPr>
      </w:pPr>
      <w:r>
        <w:rPr>
          <w:lang w:eastAsia="zh-CN"/>
        </w:rPr>
        <w:t xml:space="preserve">1TX UE means the UE can only transmit 1TX at an instantaneous time; </w:t>
      </w:r>
    </w:p>
    <w:p w14:paraId="0044899F" w14:textId="3EC44825" w:rsidR="00F709FD" w:rsidRDefault="00F3099A" w:rsidP="00F709FD">
      <w:pPr>
        <w:pStyle w:val="BodyText"/>
        <w:numPr>
          <w:ilvl w:val="0"/>
          <w:numId w:val="28"/>
        </w:numPr>
        <w:rPr>
          <w:lang w:eastAsia="zh-CN"/>
        </w:rPr>
      </w:pPr>
      <w:r>
        <w:rPr>
          <w:lang w:eastAsia="zh-CN"/>
        </w:rPr>
        <w:t>2TX UE means the UE has simultaneous 2TX capability though its behavior in real network may not always 2TX</w:t>
      </w:r>
      <w:r w:rsidR="00F709FD">
        <w:rPr>
          <w:lang w:eastAsia="zh-CN"/>
        </w:rPr>
        <w:t>.</w:t>
      </w:r>
      <w:r w:rsidR="00726422">
        <w:rPr>
          <w:lang w:eastAsia="zh-CN"/>
        </w:rPr>
        <w:t xml:space="preserve"> </w:t>
      </w:r>
    </w:p>
    <w:p w14:paraId="78CE8C75" w14:textId="60603D8D" w:rsidR="004A2D4F" w:rsidRDefault="00726422" w:rsidP="001B744F">
      <w:pPr>
        <w:pStyle w:val="BodyText"/>
        <w:rPr>
          <w:lang w:eastAsia="zh-CN"/>
        </w:rPr>
      </w:pPr>
      <w:r>
        <w:rPr>
          <w:lang w:eastAsia="zh-CN"/>
        </w:rPr>
        <w:t>In the context of SID [1], UEs supporting polarization-specific beam correspondence can be regarded as 2TX UE.</w:t>
      </w:r>
      <w:r w:rsidR="00F3099A">
        <w:rPr>
          <w:lang w:eastAsia="zh-CN"/>
        </w:rPr>
        <w:t xml:space="preserve"> </w:t>
      </w:r>
    </w:p>
    <w:p w14:paraId="2B47FDFC" w14:textId="1D2BD844" w:rsidR="00A0225E" w:rsidRPr="00AB32EE" w:rsidRDefault="0070793D" w:rsidP="001B744F">
      <w:pPr>
        <w:pStyle w:val="BodyText"/>
        <w:rPr>
          <w:lang w:eastAsia="zh-CN"/>
        </w:rPr>
      </w:pPr>
      <w:r>
        <w:rPr>
          <w:rFonts w:hint="eastAsia"/>
          <w:lang w:eastAsia="zh-CN"/>
        </w:rPr>
        <w:t>F</w:t>
      </w:r>
      <w:r>
        <w:rPr>
          <w:lang w:eastAsia="zh-CN"/>
        </w:rPr>
        <w:t xml:space="preserve">or 1TX UE, it seems out of scope of this study item. According to EIRP test procedure in TR 38.810, for each link polarization, the total component EIRP is calculated with sum of two orthogonal measurement polarizations, in this case, the total component EIRP has no relationship with polarization mismatch between TE and UE. </w:t>
      </w:r>
      <w:r w:rsidR="00963853">
        <w:rPr>
          <w:lang w:eastAsia="zh-CN"/>
        </w:rPr>
        <w:t xml:space="preserve">And for 1TX UE, there is no 3dB UE polarization gain to be captured. </w:t>
      </w:r>
      <w:r w:rsidR="000A1AB7">
        <w:rPr>
          <w:lang w:eastAsia="zh-CN"/>
        </w:rPr>
        <w:t xml:space="preserve">For UL transmit signal quality measurement aspects, there is only issue with TX diversity scheme, for 1TX UE, there is no UL transmit signal quality measurement issue due to polarization mismatch. </w:t>
      </w:r>
      <w:r>
        <w:rPr>
          <w:lang w:eastAsia="zh-CN"/>
        </w:rPr>
        <w:t xml:space="preserve">So there is no </w:t>
      </w:r>
      <w:r w:rsidR="00963853">
        <w:rPr>
          <w:lang w:eastAsia="zh-CN"/>
        </w:rPr>
        <w:t xml:space="preserve">polarization mismatch issue </w:t>
      </w:r>
      <w:r w:rsidR="00DF1B6F">
        <w:rPr>
          <w:lang w:eastAsia="zh-CN"/>
        </w:rPr>
        <w:t xml:space="preserve">for UL TX test for 1TX UE </w:t>
      </w:r>
      <w:r w:rsidR="00963853">
        <w:rPr>
          <w:lang w:eastAsia="zh-CN"/>
        </w:rPr>
        <w:t>with current test method in TR 38.810.</w:t>
      </w:r>
      <w:r>
        <w:rPr>
          <w:lang w:eastAsia="zh-CN"/>
        </w:rPr>
        <w:t xml:space="preserve"> </w:t>
      </w:r>
    </w:p>
    <w:p w14:paraId="7BF410FD" w14:textId="0F2F7EDC" w:rsidR="001B744F" w:rsidRPr="00101A9A" w:rsidRDefault="001B744F" w:rsidP="001B744F">
      <w:pPr>
        <w:pStyle w:val="Caption"/>
        <w:spacing w:after="120"/>
        <w:ind w:left="1418" w:hanging="1418"/>
      </w:pPr>
      <w:bookmarkStart w:id="0" w:name="_Ref1149432"/>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1</w:t>
      </w:r>
      <w:r w:rsidRPr="00101A9A">
        <w:fldChar w:fldCharType="end"/>
      </w:r>
      <w:r w:rsidRPr="00101A9A">
        <w:t>:</w:t>
      </w:r>
      <w:r w:rsidRPr="00101A9A">
        <w:tab/>
      </w:r>
      <w:bookmarkEnd w:id="0"/>
      <w:r w:rsidR="00963853">
        <w:rPr>
          <w:rFonts w:hint="eastAsia"/>
          <w:lang w:eastAsia="zh-CN"/>
        </w:rPr>
        <w:t>F</w:t>
      </w:r>
      <w:r w:rsidR="00963853">
        <w:rPr>
          <w:lang w:eastAsia="zh-CN"/>
        </w:rPr>
        <w:t xml:space="preserve">or 1TX UE, it is normal to have no polarization gain, and there is </w:t>
      </w:r>
      <w:r w:rsidR="00DF1B6F">
        <w:rPr>
          <w:lang w:eastAsia="zh-CN"/>
        </w:rPr>
        <w:t>no UL transmit signal quality measurement issue due to polarization mismatch</w:t>
      </w:r>
      <w:r w:rsidR="00963853">
        <w:rPr>
          <w:lang w:eastAsia="zh-CN"/>
        </w:rPr>
        <w:t>.</w:t>
      </w:r>
      <w:r w:rsidR="00DF1B6F">
        <w:rPr>
          <w:lang w:eastAsia="zh-CN"/>
        </w:rPr>
        <w:t xml:space="preserve"> So</w:t>
      </w:r>
      <w:r w:rsidR="009C70A8">
        <w:rPr>
          <w:lang w:eastAsia="zh-CN"/>
        </w:rPr>
        <w:t xml:space="preserve"> </w:t>
      </w:r>
      <w:r w:rsidR="009C70A8" w:rsidRPr="009C70A8">
        <w:rPr>
          <w:lang w:eastAsia="zh-CN"/>
        </w:rPr>
        <w:t>there is no polarization mismatch issue for UL TX test for 1TX UE with current test method in TR 38.810</w:t>
      </w:r>
      <w:r w:rsidR="00602561">
        <w:rPr>
          <w:lang w:eastAsia="zh-CN"/>
        </w:rPr>
        <w:t>.</w:t>
      </w:r>
    </w:p>
    <w:p w14:paraId="0E052D05" w14:textId="27DB360B" w:rsidR="00D20D9E" w:rsidRDefault="00D814F5" w:rsidP="001B744F">
      <w:pPr>
        <w:spacing w:after="120"/>
        <w:rPr>
          <w:lang w:eastAsia="zh-CN"/>
        </w:rPr>
      </w:pPr>
      <w:r>
        <w:rPr>
          <w:lang w:eastAsia="zh-CN"/>
        </w:rPr>
        <w:t xml:space="preserve">For 2TX UE (with simultaneous 2TX capability), there seems polarization mismatch scenarios. In order to capture polarization gain, some possible enhancements are proposed, i.e., </w:t>
      </w:r>
      <w:r w:rsidRPr="002E7410">
        <w:rPr>
          <w:lang w:eastAsia="zh-CN"/>
        </w:rPr>
        <w:t>polarization sweeping</w:t>
      </w:r>
      <w:r>
        <w:rPr>
          <w:lang w:eastAsia="zh-CN"/>
        </w:rPr>
        <w:t xml:space="preserve"> approach and </w:t>
      </w:r>
      <w:r w:rsidRPr="009B2E5A">
        <w:t>circular polarization</w:t>
      </w:r>
      <w:r>
        <w:t>.</w:t>
      </w:r>
      <w:r w:rsidR="00813B38">
        <w:rPr>
          <w:rFonts w:hint="eastAsia"/>
          <w:lang w:eastAsia="zh-CN"/>
        </w:rPr>
        <w:t xml:space="preserve"> </w:t>
      </w:r>
      <w:r w:rsidR="00813B38">
        <w:rPr>
          <w:lang w:eastAsia="zh-CN"/>
        </w:rPr>
        <w:t xml:space="preserve">Keysight’s paper [2] analyzed the two approaches and the conclusion is that the use of circular polarization does not guarantee to capture the diversity gain (polarization gain). </w:t>
      </w:r>
    </w:p>
    <w:p w14:paraId="1DC8F42F" w14:textId="674D9056" w:rsidR="008161BB" w:rsidRDefault="00813B38" w:rsidP="001B744F">
      <w:pPr>
        <w:spacing w:after="120"/>
        <w:rPr>
          <w:lang w:eastAsia="zh-CN"/>
        </w:rPr>
      </w:pPr>
      <w:r>
        <w:rPr>
          <w:lang w:eastAsia="zh-CN"/>
        </w:rPr>
        <w:t>For polarization sweeping approach, it shows possibility to capture polarization gain for 2TX UE supporting polarization-specific beam correspondence</w:t>
      </w:r>
      <w:r w:rsidR="008161BB">
        <w:rPr>
          <w:lang w:eastAsia="zh-CN"/>
        </w:rPr>
        <w:t>.</w:t>
      </w:r>
      <w:r>
        <w:rPr>
          <w:lang w:eastAsia="zh-CN"/>
        </w:rPr>
        <w:t xml:space="preserve"> As shown in Figure 2-1 (Figure 7 of </w:t>
      </w:r>
      <w:r w:rsidR="00C4527F">
        <w:rPr>
          <w:lang w:eastAsia="zh-CN"/>
        </w:rPr>
        <w:t xml:space="preserve">Keysight contribution </w:t>
      </w:r>
      <w:r>
        <w:rPr>
          <w:lang w:eastAsia="zh-CN"/>
        </w:rPr>
        <w:t>[2])</w:t>
      </w:r>
      <w:r w:rsidR="00C4527F">
        <w:rPr>
          <w:lang w:eastAsia="zh-CN"/>
        </w:rPr>
        <w:t>, 45deg polarization mismatch between TE and UE is required to enable simultaneous 2TX.</w:t>
      </w:r>
    </w:p>
    <w:p w14:paraId="2BB05C92" w14:textId="696F9192" w:rsidR="00C4527F" w:rsidRDefault="00C4527F" w:rsidP="00C4527F">
      <w:pPr>
        <w:spacing w:after="120"/>
        <w:jc w:val="center"/>
        <w:rPr>
          <w:lang w:eastAsia="zh-CN"/>
        </w:rPr>
      </w:pPr>
      <w:bookmarkStart w:id="1" w:name="_GoBack"/>
      <w:bookmarkEnd w:id="1"/>
      <w:r>
        <w:rPr>
          <w:noProof/>
          <w:lang w:eastAsia="zh-CN"/>
        </w:rPr>
        <w:lastRenderedPageBreak/>
        <w:drawing>
          <wp:inline distT="0" distB="0" distL="0" distR="0" wp14:anchorId="27DC1546" wp14:editId="78308D30">
            <wp:extent cx="5486400" cy="2424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2424430"/>
                    </a:xfrm>
                    <a:prstGeom prst="rect">
                      <a:avLst/>
                    </a:prstGeom>
                    <a:noFill/>
                  </pic:spPr>
                </pic:pic>
              </a:graphicData>
            </a:graphic>
          </wp:inline>
        </w:drawing>
      </w:r>
    </w:p>
    <w:p w14:paraId="263F1D84" w14:textId="36B819E7" w:rsidR="00C4527F" w:rsidRDefault="00C4527F" w:rsidP="00C4527F">
      <w:pPr>
        <w:spacing w:after="120"/>
        <w:jc w:val="center"/>
        <w:rPr>
          <w:lang w:eastAsia="zh-CN"/>
        </w:rPr>
      </w:pPr>
      <w:r>
        <w:rPr>
          <w:rFonts w:hint="eastAsia"/>
          <w:lang w:eastAsia="zh-CN"/>
        </w:rPr>
        <w:t>F</w:t>
      </w:r>
      <w:r>
        <w:rPr>
          <w:lang w:eastAsia="zh-CN"/>
        </w:rPr>
        <w:t>igure 2-1 EIRP</w:t>
      </w:r>
      <w:r w:rsidRPr="00C4527F">
        <w:rPr>
          <w:vertAlign w:val="subscript"/>
          <w:lang w:eastAsia="zh-CN"/>
        </w:rPr>
        <w:t>total</w:t>
      </w:r>
      <w:r>
        <w:rPr>
          <w:lang w:eastAsia="zh-CN"/>
        </w:rPr>
        <w:t xml:space="preserve"> for polarization </w:t>
      </w:r>
      <w:r w:rsidR="00602561">
        <w:rPr>
          <w:lang w:eastAsia="zh-CN"/>
        </w:rPr>
        <w:t>sweeping approach</w:t>
      </w:r>
      <w:r>
        <w:rPr>
          <w:lang w:eastAsia="zh-CN"/>
        </w:rPr>
        <w:t xml:space="preserve"> (Figure 7 of Keysight contribution [2])</w:t>
      </w:r>
    </w:p>
    <w:p w14:paraId="5D3CBE9B" w14:textId="2892C8D3" w:rsidR="001B744F" w:rsidRDefault="00C4527F" w:rsidP="001B744F">
      <w:pPr>
        <w:spacing w:after="120"/>
        <w:rPr>
          <w:lang w:eastAsia="zh-CN"/>
        </w:rPr>
      </w:pPr>
      <w:r>
        <w:rPr>
          <w:lang w:eastAsia="zh-CN"/>
        </w:rPr>
        <w:t>To get the 45deg polarization mismatch between TE and UE, it is unclear how many polarization sweeping granularity is needed due to black box test approach. We can see that polarization sweeping approach can not guarantee to capture diversity gain (polarization gain) reliably.</w:t>
      </w:r>
    </w:p>
    <w:p w14:paraId="7192116E" w14:textId="44B0546F" w:rsidR="00D33B6E" w:rsidRPr="00D33B6E" w:rsidRDefault="00D33B6E" w:rsidP="00D33B6E">
      <w:pPr>
        <w:pStyle w:val="Caption"/>
        <w:spacing w:after="120"/>
        <w:ind w:left="1418" w:hanging="1418"/>
        <w:rPr>
          <w:lang w:eastAsia="zh-CN"/>
        </w:rPr>
      </w:pPr>
      <w:r w:rsidRPr="00101A9A">
        <w:t xml:space="preserve">Observation </w:t>
      </w:r>
      <w:r>
        <w:t>2</w:t>
      </w:r>
      <w:r w:rsidRPr="00101A9A">
        <w:t>:</w:t>
      </w:r>
      <w:r w:rsidRPr="00101A9A">
        <w:tab/>
      </w:r>
      <w:r>
        <w:t>both polarization sweeping approach and circular polarization approach can</w:t>
      </w:r>
      <w:r w:rsidRPr="00813B38">
        <w:t xml:space="preserve"> not guarantee to capture the diversity gain (polarization gain)</w:t>
      </w:r>
      <w:r w:rsidR="004F24C9">
        <w:t xml:space="preserve"> reliably</w:t>
      </w:r>
      <w:r>
        <w:rPr>
          <w:lang w:eastAsia="zh-CN"/>
        </w:rPr>
        <w:t>.</w:t>
      </w:r>
    </w:p>
    <w:p w14:paraId="222F0BF7" w14:textId="5C7B5856" w:rsidR="00C4527F" w:rsidRDefault="00C4527F" w:rsidP="001B744F">
      <w:pPr>
        <w:spacing w:after="120"/>
        <w:rPr>
          <w:lang w:eastAsia="zh-CN"/>
        </w:rPr>
      </w:pPr>
      <w:r>
        <w:rPr>
          <w:lang w:eastAsia="zh-CN"/>
        </w:rPr>
        <w:t xml:space="preserve">On the other hand, for UL transmit signal quality measurement, a 0deg polarization mismatch </w:t>
      </w:r>
      <w:r w:rsidR="00D33B6E">
        <w:rPr>
          <w:lang w:eastAsia="zh-CN"/>
        </w:rPr>
        <w:t xml:space="preserve">between TE and UE </w:t>
      </w:r>
      <w:r>
        <w:rPr>
          <w:lang w:eastAsia="zh-CN"/>
        </w:rPr>
        <w:t>is required, which is conflict with EIRP test</w:t>
      </w:r>
      <w:r w:rsidR="00D33B6E">
        <w:rPr>
          <w:lang w:eastAsia="zh-CN"/>
        </w:rPr>
        <w:t xml:space="preserve"> which requires 45deg polarization mismatch</w:t>
      </w:r>
      <w:r>
        <w:rPr>
          <w:lang w:eastAsia="zh-CN"/>
        </w:rPr>
        <w:t>.</w:t>
      </w:r>
    </w:p>
    <w:p w14:paraId="68056075" w14:textId="6DC41416" w:rsidR="00D33B6E" w:rsidRPr="00101A9A" w:rsidRDefault="00D33B6E" w:rsidP="00D33B6E">
      <w:pPr>
        <w:pStyle w:val="Caption"/>
        <w:spacing w:after="120"/>
        <w:ind w:left="1418" w:hanging="1418"/>
      </w:pPr>
      <w:r w:rsidRPr="00101A9A">
        <w:t xml:space="preserve">Observation </w:t>
      </w:r>
      <w:r>
        <w:t>3</w:t>
      </w:r>
      <w:r w:rsidRPr="00101A9A">
        <w:t>:</w:t>
      </w:r>
      <w:r w:rsidRPr="00101A9A">
        <w:tab/>
      </w:r>
      <w:r>
        <w:t xml:space="preserve">for polarization </w:t>
      </w:r>
      <w:r w:rsidR="0085610D">
        <w:t xml:space="preserve">sweeping </w:t>
      </w:r>
      <w:r>
        <w:t>approach, it requires 45deg polarization mismatch between TE and UE to capture polarization gain, and it requires 0deg polarization mismatch for UL transmit quality measurement, it is conflict</w:t>
      </w:r>
      <w:r>
        <w:rPr>
          <w:lang w:eastAsia="zh-CN"/>
        </w:rPr>
        <w:t>.</w:t>
      </w:r>
    </w:p>
    <w:p w14:paraId="517D3B3B" w14:textId="3EE6C0E6" w:rsidR="006C10CB" w:rsidRDefault="00CB6DD5" w:rsidP="001B744F">
      <w:pPr>
        <w:spacing w:after="120"/>
        <w:rPr>
          <w:lang w:eastAsia="zh-CN"/>
        </w:rPr>
      </w:pPr>
      <w:r>
        <w:rPr>
          <w:rFonts w:hint="eastAsia"/>
          <w:lang w:eastAsia="zh-CN"/>
        </w:rPr>
        <w:t>More</w:t>
      </w:r>
      <w:r>
        <w:rPr>
          <w:lang w:eastAsia="zh-CN"/>
        </w:rPr>
        <w:t>over, it is obvious that polarization approach will significantly increase test time. A</w:t>
      </w:r>
      <w:r w:rsidR="0085610D">
        <w:rPr>
          <w:lang w:eastAsia="zh-CN"/>
        </w:rPr>
        <w:t>n</w:t>
      </w:r>
      <w:r>
        <w:rPr>
          <w:lang w:eastAsia="zh-CN"/>
        </w:rPr>
        <w:t xml:space="preserve"> N-</w:t>
      </w:r>
      <w:r w:rsidR="0085610D">
        <w:rPr>
          <w:lang w:eastAsia="zh-CN"/>
        </w:rPr>
        <w:t>order</w:t>
      </w:r>
      <w:r>
        <w:rPr>
          <w:lang w:eastAsia="zh-CN"/>
        </w:rPr>
        <w:t xml:space="preserve"> polarization sweeping will increase test time by a factor of N, which is conflict with Object 6 (test time reduction). The same issue exist</w:t>
      </w:r>
      <w:r w:rsidR="0085610D">
        <w:rPr>
          <w:lang w:eastAsia="zh-CN"/>
        </w:rPr>
        <w:t>s</w:t>
      </w:r>
      <w:r>
        <w:rPr>
          <w:lang w:eastAsia="zh-CN"/>
        </w:rPr>
        <w:t xml:space="preserve"> for the EIS metric</w:t>
      </w:r>
      <w:r w:rsidR="006C10CB">
        <w:rPr>
          <w:lang w:eastAsia="zh-CN"/>
        </w:rPr>
        <w:t xml:space="preserve"> topic.</w:t>
      </w:r>
    </w:p>
    <w:p w14:paraId="23BD9C68" w14:textId="75D2D8AE" w:rsidR="00CB6DD5" w:rsidRPr="006C10CB" w:rsidRDefault="006C10CB" w:rsidP="006C10CB">
      <w:pPr>
        <w:pStyle w:val="Caption"/>
        <w:spacing w:after="120"/>
        <w:ind w:left="1418" w:hanging="1418"/>
        <w:rPr>
          <w:lang w:eastAsia="zh-CN"/>
        </w:rPr>
      </w:pPr>
      <w:r w:rsidRPr="00101A9A">
        <w:t xml:space="preserve">Observation </w:t>
      </w:r>
      <w:r>
        <w:t>4</w:t>
      </w:r>
      <w:r w:rsidRPr="00101A9A">
        <w:t>:</w:t>
      </w:r>
      <w:r w:rsidRPr="00101A9A">
        <w:tab/>
      </w:r>
      <w:r>
        <w:t>polarization</w:t>
      </w:r>
      <w:r w:rsidR="0085610D">
        <w:t xml:space="preserve"> sweeping</w:t>
      </w:r>
      <w:r>
        <w:t xml:space="preserve"> approach will significantly increase test time which is conflict with Objective 6 (test time reduction)</w:t>
      </w:r>
      <w:r w:rsidR="00602561">
        <w:t>.</w:t>
      </w:r>
    </w:p>
    <w:p w14:paraId="32C43AF7" w14:textId="1D689316" w:rsidR="00A42BA6" w:rsidRDefault="00D27011" w:rsidP="001B744F">
      <w:pPr>
        <w:spacing w:after="120"/>
        <w:rPr>
          <w:lang w:eastAsia="zh-CN"/>
        </w:rPr>
      </w:pPr>
      <w:r>
        <w:rPr>
          <w:lang w:eastAsia="zh-CN"/>
        </w:rPr>
        <w:t>It seems difficult to solve the polarization mismatch issue. However, one aspect of causing the difficulty is that testability is trying to use unified test method to cover both 1TX UE and 2TX UE. Based on above analysis, polarization mismatch issue for UL TX test only exist for 2TX UE. To simplify this objective, it is proposed to focus on 2TX UE</w:t>
      </w:r>
      <w:r w:rsidR="00CB6DD5">
        <w:rPr>
          <w:lang w:eastAsia="zh-CN"/>
        </w:rPr>
        <w:t xml:space="preserve"> (with simultaneous 2TX capability)</w:t>
      </w:r>
      <w:r>
        <w:rPr>
          <w:lang w:eastAsia="zh-CN"/>
        </w:rPr>
        <w:t xml:space="preserve"> for UL TX test </w:t>
      </w:r>
      <w:r w:rsidR="00CB6DD5">
        <w:rPr>
          <w:lang w:eastAsia="zh-CN"/>
        </w:rPr>
        <w:t>for the enhancement of this study item Objective 2.</w:t>
      </w:r>
    </w:p>
    <w:p w14:paraId="1F8B971D" w14:textId="38FA33B1" w:rsidR="009622B5" w:rsidRDefault="003927CA" w:rsidP="00CB6DD5">
      <w:pPr>
        <w:pStyle w:val="Caption"/>
        <w:spacing w:after="120"/>
        <w:ind w:left="1418" w:hanging="1418"/>
        <w:rPr>
          <w:lang w:eastAsia="zh-CN"/>
        </w:rPr>
      </w:pPr>
      <w:bookmarkStart w:id="2" w:name="_Ref1149451"/>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001B744F" w:rsidRPr="00101A9A">
        <w:tab/>
      </w:r>
      <w:bookmarkEnd w:id="2"/>
      <w:r w:rsidR="00CB6DD5">
        <w:t xml:space="preserve">for 1TX UE, </w:t>
      </w:r>
      <w:r w:rsidR="00CB6DD5">
        <w:rPr>
          <w:lang w:eastAsia="zh-CN"/>
        </w:rPr>
        <w:t xml:space="preserve">current test method in TR 38.810 </w:t>
      </w:r>
      <w:r w:rsidR="00604DDC">
        <w:rPr>
          <w:lang w:eastAsia="zh-CN"/>
        </w:rPr>
        <w:t>applies</w:t>
      </w:r>
      <w:r w:rsidR="00CB6DD5">
        <w:rPr>
          <w:lang w:eastAsia="zh-CN"/>
        </w:rPr>
        <w:t xml:space="preserve"> for UL TX test</w:t>
      </w:r>
      <w:r w:rsidR="00602561">
        <w:rPr>
          <w:lang w:eastAsia="zh-CN"/>
        </w:rPr>
        <w:t>.</w:t>
      </w:r>
    </w:p>
    <w:p w14:paraId="2438F28B" w14:textId="249FDBBD" w:rsidR="00607175" w:rsidRDefault="00607175" w:rsidP="00607175">
      <w:pPr>
        <w:pStyle w:val="Caption"/>
        <w:spacing w:after="120"/>
        <w:ind w:left="1418" w:hanging="1418"/>
        <w:rPr>
          <w:lang w:eastAsia="zh-CN"/>
        </w:rPr>
      </w:pPr>
      <w:r w:rsidRPr="00101A9A">
        <w:t xml:space="preserve">Proposal </w:t>
      </w:r>
      <w:r>
        <w:t>2</w:t>
      </w:r>
      <w:r w:rsidRPr="00101A9A">
        <w:t>:</w:t>
      </w:r>
      <w:r w:rsidRPr="00101A9A">
        <w:tab/>
      </w:r>
      <w:r w:rsidR="00CB6DD5" w:rsidRPr="00CB6DD5">
        <w:rPr>
          <w:lang w:eastAsia="zh-CN"/>
        </w:rPr>
        <w:t>focus on 2TX UE (with simultaneous 2TX capability) for UL TX test for the enhancement of this study item Objective 2.</w:t>
      </w:r>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0F97B0C6" w14:textId="77777777" w:rsidR="00602561" w:rsidRPr="00101A9A" w:rsidRDefault="00602561" w:rsidP="00602561">
      <w:pPr>
        <w:pStyle w:val="Caption"/>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rPr>
          <w:rFonts w:hint="eastAsia"/>
          <w:lang w:eastAsia="zh-CN"/>
        </w:rPr>
        <w:t>F</w:t>
      </w:r>
      <w:r>
        <w:rPr>
          <w:lang w:eastAsia="zh-CN"/>
        </w:rPr>
        <w:t xml:space="preserve">or 1TX UE, it is normal to have no polarization gain, and there is no UL transmit signal quality measurement issue due to polarization mismatch. So </w:t>
      </w:r>
      <w:r w:rsidRPr="009C70A8">
        <w:rPr>
          <w:lang w:eastAsia="zh-CN"/>
        </w:rPr>
        <w:t>there is no polarization mismatch issue for UL TX test for 1TX UE with current test method in TR 38.810</w:t>
      </w:r>
    </w:p>
    <w:p w14:paraId="502DE8BC" w14:textId="77777777" w:rsidR="00602561" w:rsidRPr="00D33B6E" w:rsidRDefault="00602561" w:rsidP="00602561">
      <w:pPr>
        <w:pStyle w:val="Caption"/>
        <w:spacing w:after="120"/>
        <w:ind w:left="1418" w:hanging="1418"/>
        <w:rPr>
          <w:lang w:eastAsia="zh-CN"/>
        </w:rPr>
      </w:pPr>
      <w:r w:rsidRPr="00101A9A">
        <w:t xml:space="preserve">Observation </w:t>
      </w:r>
      <w:r>
        <w:t>2</w:t>
      </w:r>
      <w:r w:rsidRPr="00101A9A">
        <w:t>:</w:t>
      </w:r>
      <w:r w:rsidRPr="00101A9A">
        <w:tab/>
      </w:r>
      <w:r>
        <w:t>both polarization sweeping approach and circular polarization approach can</w:t>
      </w:r>
      <w:r w:rsidRPr="00813B38">
        <w:t xml:space="preserve"> not guarantee to capture the diversity gain (polarization gain)</w:t>
      </w:r>
      <w:r>
        <w:t xml:space="preserve"> reliably</w:t>
      </w:r>
      <w:r>
        <w:rPr>
          <w:lang w:eastAsia="zh-CN"/>
        </w:rPr>
        <w:t>.</w:t>
      </w:r>
    </w:p>
    <w:p w14:paraId="01BFF46A" w14:textId="52EC987B" w:rsidR="00602561" w:rsidRPr="00101A9A" w:rsidRDefault="00602561" w:rsidP="00602561">
      <w:pPr>
        <w:pStyle w:val="Caption"/>
        <w:spacing w:after="120"/>
        <w:ind w:left="1418" w:hanging="1418"/>
      </w:pPr>
      <w:r w:rsidRPr="00101A9A">
        <w:t xml:space="preserve">Observation </w:t>
      </w:r>
      <w:r>
        <w:t>3</w:t>
      </w:r>
      <w:r w:rsidRPr="00101A9A">
        <w:t>:</w:t>
      </w:r>
      <w:r w:rsidRPr="00101A9A">
        <w:tab/>
      </w:r>
      <w:r>
        <w:t xml:space="preserve">for polarization </w:t>
      </w:r>
      <w:r w:rsidR="0085610D">
        <w:t xml:space="preserve">sweeping </w:t>
      </w:r>
      <w:r>
        <w:t>approach, it requires 45deg polarization mismatch between TE and UE to capture polarization gain, and it requires 0deg polarization mismatch for UL transmit quality measurement, it is conflict</w:t>
      </w:r>
      <w:r>
        <w:rPr>
          <w:lang w:eastAsia="zh-CN"/>
        </w:rPr>
        <w:t>.</w:t>
      </w:r>
    </w:p>
    <w:p w14:paraId="265F3591" w14:textId="3F8D9F29" w:rsidR="00602561" w:rsidRPr="006C10CB" w:rsidRDefault="00602561" w:rsidP="00602561">
      <w:pPr>
        <w:pStyle w:val="Caption"/>
        <w:spacing w:after="120"/>
        <w:ind w:left="1418" w:hanging="1418"/>
        <w:rPr>
          <w:lang w:eastAsia="zh-CN"/>
        </w:rPr>
      </w:pPr>
      <w:r w:rsidRPr="00101A9A">
        <w:t xml:space="preserve">Observation </w:t>
      </w:r>
      <w:r>
        <w:t>4</w:t>
      </w:r>
      <w:r w:rsidRPr="00101A9A">
        <w:t>:</w:t>
      </w:r>
      <w:r w:rsidRPr="00101A9A">
        <w:tab/>
      </w:r>
      <w:r>
        <w:t xml:space="preserve">polarization </w:t>
      </w:r>
      <w:r w:rsidR="0085610D">
        <w:t xml:space="preserve">sweeping </w:t>
      </w:r>
      <w:r>
        <w:t>approach will significantly increase test time which is conflict with Objective 6 (test time reduction).</w:t>
      </w:r>
    </w:p>
    <w:p w14:paraId="705875D6" w14:textId="1C1CF691" w:rsidR="00602561" w:rsidRDefault="00602561" w:rsidP="00602561">
      <w:pPr>
        <w:pStyle w:val="Caption"/>
        <w:spacing w:after="120"/>
        <w:ind w:left="1418" w:hanging="1418"/>
        <w:rPr>
          <w:lang w:eastAsia="zh-CN"/>
        </w:rPr>
      </w:pPr>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r>
        <w:t xml:space="preserve">for 1TX UE, </w:t>
      </w:r>
      <w:r>
        <w:rPr>
          <w:lang w:eastAsia="zh-CN"/>
        </w:rPr>
        <w:t xml:space="preserve">current test method in TR 38.810 </w:t>
      </w:r>
      <w:r w:rsidR="00604DDC">
        <w:rPr>
          <w:lang w:eastAsia="zh-CN"/>
        </w:rPr>
        <w:t>applies</w:t>
      </w:r>
      <w:r>
        <w:rPr>
          <w:lang w:eastAsia="zh-CN"/>
        </w:rPr>
        <w:t xml:space="preserve"> for UL TX test.</w:t>
      </w:r>
    </w:p>
    <w:p w14:paraId="0CAD7C9F" w14:textId="77777777" w:rsidR="00602561" w:rsidRDefault="00602561" w:rsidP="00602561">
      <w:pPr>
        <w:pStyle w:val="Caption"/>
        <w:spacing w:after="120"/>
        <w:ind w:left="1418" w:hanging="1418"/>
        <w:rPr>
          <w:lang w:eastAsia="zh-CN"/>
        </w:rPr>
      </w:pPr>
      <w:r w:rsidRPr="00101A9A">
        <w:lastRenderedPageBreak/>
        <w:t xml:space="preserve">Proposal </w:t>
      </w:r>
      <w:r>
        <w:t>2</w:t>
      </w:r>
      <w:r w:rsidRPr="00101A9A">
        <w:t>:</w:t>
      </w:r>
      <w:r w:rsidRPr="00101A9A">
        <w:tab/>
      </w:r>
      <w:r w:rsidRPr="00CB6DD5">
        <w:rPr>
          <w:lang w:eastAsia="zh-CN"/>
        </w:rPr>
        <w:t>focus on 2TX UE (with simultaneous 2TX capability) for UL TX test for the enhancement of this study item Objective 2.</w:t>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6F3AFB83" w:rsidR="00E04757" w:rsidRPr="004A2980" w:rsidRDefault="004A2980" w:rsidP="004A2980">
      <w:pPr>
        <w:pStyle w:val="references"/>
        <w:numPr>
          <w:ilvl w:val="0"/>
          <w:numId w:val="7"/>
        </w:numPr>
        <w:tabs>
          <w:tab w:val="left" w:pos="1560"/>
        </w:tabs>
        <w:spacing w:after="120"/>
      </w:pPr>
      <w:bookmarkStart w:id="3" w:name="_Ref6492277"/>
      <w:bookmarkStart w:id="4" w:name="_Ref16090396"/>
      <w:bookmarkStart w:id="5" w:name="_Ref536518839"/>
      <w:bookmarkStart w:id="6" w:name="_Ref528673925"/>
      <w:bookmarkStart w:id="7" w:name="_Ref525739026"/>
      <w:bookmarkStart w:id="8" w:name="_Ref513646437"/>
      <w:bookmarkStart w:id="9" w:name="_Ref508875069"/>
      <w:bookmarkStart w:id="10" w:name="_Ref508874720"/>
      <w:bookmarkStart w:id="11" w:name="_Ref484009661"/>
      <w:bookmarkStart w:id="12" w:name="_Ref447703865"/>
      <w:bookmarkStart w:id="13" w:name="_Ref455046197"/>
      <w:bookmarkStart w:id="14" w:name="_Ref473734040"/>
      <w:bookmarkStart w:id="15" w:name="_Ref481653652"/>
      <w:bookmarkStart w:id="16" w:name="_Ref447634836"/>
      <w:bookmarkStart w:id="17" w:name="_Ref447633816"/>
      <w:r>
        <w:t>RP</w:t>
      </w:r>
      <w:r w:rsidR="00E04757" w:rsidRPr="00E04757">
        <w:t>-19</w:t>
      </w:r>
      <w:r>
        <w:t>2322</w:t>
      </w:r>
      <w:r w:rsidR="00E04757" w:rsidRPr="00E04757">
        <w:t xml:space="preserve"> </w:t>
      </w:r>
      <w:r w:rsidR="00E04757">
        <w:tab/>
        <w:t>“</w:t>
      </w:r>
      <w:r w:rsidRPr="004A2980">
        <w:t>New SID: Study on enhanced test methods for FR2</w:t>
      </w:r>
      <w:r w:rsidR="00E04757">
        <w:t xml:space="preserve">”, </w:t>
      </w:r>
      <w:bookmarkEnd w:id="3"/>
      <w:bookmarkEnd w:id="4"/>
      <w:r w:rsidRPr="004A2980">
        <w:rPr>
          <w:i/>
        </w:rPr>
        <w:t>Apple, Inc., CAICT</w:t>
      </w:r>
    </w:p>
    <w:p w14:paraId="78FA4F84" w14:textId="0871658A" w:rsidR="004A2980" w:rsidRPr="004A2980" w:rsidRDefault="004A2980" w:rsidP="008E21AF">
      <w:pPr>
        <w:pStyle w:val="references"/>
        <w:numPr>
          <w:ilvl w:val="0"/>
          <w:numId w:val="7"/>
        </w:numPr>
        <w:tabs>
          <w:tab w:val="left" w:pos="1560"/>
        </w:tabs>
        <w:spacing w:after="120"/>
      </w:pPr>
      <w:r>
        <w:t>R</w:t>
      </w:r>
      <w:r w:rsidR="008E21AF">
        <w:t>4</w:t>
      </w:r>
      <w:r w:rsidRPr="00E04757">
        <w:t>-19</w:t>
      </w:r>
      <w:r w:rsidR="008E21AF">
        <w:t>04192</w:t>
      </w:r>
      <w:r w:rsidRPr="00E04757">
        <w:t xml:space="preserve"> </w:t>
      </w:r>
      <w:r>
        <w:tab/>
        <w:t>“</w:t>
      </w:r>
      <w:r w:rsidR="008E21AF" w:rsidRPr="008E21AF">
        <w:t>On Polarization Mismatch Impact</w:t>
      </w:r>
      <w:r>
        <w:t xml:space="preserve">”, </w:t>
      </w:r>
      <w:r w:rsidR="008E21AF">
        <w:rPr>
          <w:i/>
        </w:rPr>
        <w:t>Keysight</w:t>
      </w:r>
    </w:p>
    <w:bookmarkEnd w:id="5"/>
    <w:bookmarkEnd w:id="6"/>
    <w:bookmarkEnd w:id="7"/>
    <w:bookmarkEnd w:id="8"/>
    <w:bookmarkEnd w:id="9"/>
    <w:bookmarkEnd w:id="10"/>
    <w:bookmarkEnd w:id="11"/>
    <w:bookmarkEnd w:id="12"/>
    <w:bookmarkEnd w:id="13"/>
    <w:bookmarkEnd w:id="14"/>
    <w:bookmarkEnd w:id="15"/>
    <w:bookmarkEnd w:id="16"/>
    <w:bookmarkEnd w:id="17"/>
    <w:p w14:paraId="729E1818" w14:textId="77777777" w:rsidR="004A2980" w:rsidRPr="00874135" w:rsidRDefault="004A2980" w:rsidP="00CB6DD5">
      <w:pPr>
        <w:pStyle w:val="references"/>
        <w:numPr>
          <w:ilvl w:val="0"/>
          <w:numId w:val="0"/>
        </w:numPr>
        <w:tabs>
          <w:tab w:val="left" w:pos="1560"/>
        </w:tabs>
        <w:spacing w:after="120"/>
      </w:pPr>
    </w:p>
    <w:sectPr w:rsidR="004A2980" w:rsidRPr="00874135"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15FE0" w14:textId="77777777" w:rsidR="00977282" w:rsidRDefault="00977282">
      <w:r>
        <w:separator/>
      </w:r>
    </w:p>
  </w:endnote>
  <w:endnote w:type="continuationSeparator" w:id="0">
    <w:p w14:paraId="12A952BC" w14:textId="77777777" w:rsidR="00977282" w:rsidRDefault="0097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65CF0" w14:textId="77777777" w:rsidR="00977282" w:rsidRDefault="00977282">
      <w:r>
        <w:separator/>
      </w:r>
    </w:p>
  </w:footnote>
  <w:footnote w:type="continuationSeparator" w:id="0">
    <w:p w14:paraId="50850A51" w14:textId="77777777" w:rsidR="00977282" w:rsidRDefault="00977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5836A0"/>
    <w:multiLevelType w:val="hybridMultilevel"/>
    <w:tmpl w:val="94065222"/>
    <w:lvl w:ilvl="0" w:tplc="4C12E084">
      <w:start w:val="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9406BC1"/>
    <w:multiLevelType w:val="hybridMultilevel"/>
    <w:tmpl w:val="438810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宋体"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6725400C"/>
    <w:multiLevelType w:val="hybridMultilevel"/>
    <w:tmpl w:val="7758D40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8"/>
  </w:num>
  <w:num w:numId="5">
    <w:abstractNumId w:val="3"/>
  </w:num>
  <w:num w:numId="6">
    <w:abstractNumId w:val="13"/>
  </w:num>
  <w:num w:numId="7">
    <w:abstractNumId w:val="15"/>
  </w:num>
  <w:num w:numId="8">
    <w:abstractNumId w:val="1"/>
  </w:num>
  <w:num w:numId="9">
    <w:abstractNumId w:val="10"/>
  </w:num>
  <w:num w:numId="10">
    <w:abstractNumId w:val="11"/>
  </w:num>
  <w:num w:numId="11">
    <w:abstractNumId w:val="12"/>
  </w:num>
  <w:num w:numId="12">
    <w:abstractNumId w:val="4"/>
  </w:num>
  <w:num w:numId="13">
    <w:abstractNumId w:val="1"/>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6"/>
  </w:num>
  <w:num w:numId="21">
    <w:abstractNumId w:val="1"/>
  </w:num>
  <w:num w:numId="22">
    <w:abstractNumId w:val="1"/>
  </w:num>
  <w:num w:numId="23">
    <w:abstractNumId w:val="1"/>
  </w:num>
  <w:num w:numId="24">
    <w:abstractNumId w:val="1"/>
  </w:num>
  <w:num w:numId="25">
    <w:abstractNumId w:val="7"/>
  </w:num>
  <w:num w:numId="26">
    <w:abstractNumId w:val="5"/>
  </w:num>
  <w:num w:numId="27">
    <w:abstractNumId w:val="14"/>
  </w:num>
  <w:num w:numId="2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CE7"/>
    <w:rsid w:val="00012E79"/>
    <w:rsid w:val="00013576"/>
    <w:rsid w:val="0001373B"/>
    <w:rsid w:val="00014663"/>
    <w:rsid w:val="00014B15"/>
    <w:rsid w:val="00014CA4"/>
    <w:rsid w:val="00014CB4"/>
    <w:rsid w:val="00014ED4"/>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1AB7"/>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093"/>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51A"/>
    <w:rsid w:val="000E491E"/>
    <w:rsid w:val="000E4D2C"/>
    <w:rsid w:val="000E5383"/>
    <w:rsid w:val="000E544A"/>
    <w:rsid w:val="000E581F"/>
    <w:rsid w:val="000E5FCC"/>
    <w:rsid w:val="000E69D5"/>
    <w:rsid w:val="000E6BB1"/>
    <w:rsid w:val="000E6C0C"/>
    <w:rsid w:val="000E6CCB"/>
    <w:rsid w:val="000E76C5"/>
    <w:rsid w:val="000E798D"/>
    <w:rsid w:val="000E798E"/>
    <w:rsid w:val="000E7A18"/>
    <w:rsid w:val="000E7C57"/>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28CA"/>
    <w:rsid w:val="00113D72"/>
    <w:rsid w:val="00114D8F"/>
    <w:rsid w:val="00116016"/>
    <w:rsid w:val="0011606A"/>
    <w:rsid w:val="00116100"/>
    <w:rsid w:val="0011683D"/>
    <w:rsid w:val="00116B04"/>
    <w:rsid w:val="00116D7A"/>
    <w:rsid w:val="00120026"/>
    <w:rsid w:val="00120170"/>
    <w:rsid w:val="00120522"/>
    <w:rsid w:val="0012092E"/>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917"/>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5ACA"/>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2E4"/>
    <w:rsid w:val="00162406"/>
    <w:rsid w:val="0016284A"/>
    <w:rsid w:val="00162D2F"/>
    <w:rsid w:val="00162F82"/>
    <w:rsid w:val="001638B9"/>
    <w:rsid w:val="001655CE"/>
    <w:rsid w:val="00165932"/>
    <w:rsid w:val="00165DE6"/>
    <w:rsid w:val="00165ED6"/>
    <w:rsid w:val="00166E5C"/>
    <w:rsid w:val="00166E60"/>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36"/>
    <w:rsid w:val="001849BC"/>
    <w:rsid w:val="00184C2D"/>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DE0"/>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4D5"/>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6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A77"/>
    <w:rsid w:val="002045C4"/>
    <w:rsid w:val="002046F9"/>
    <w:rsid w:val="00205522"/>
    <w:rsid w:val="0020617C"/>
    <w:rsid w:val="00206300"/>
    <w:rsid w:val="00206667"/>
    <w:rsid w:val="0020697E"/>
    <w:rsid w:val="002079C6"/>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0CB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574D3"/>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93B"/>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087"/>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410"/>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1A3"/>
    <w:rsid w:val="003033DC"/>
    <w:rsid w:val="003037C0"/>
    <w:rsid w:val="00304A6A"/>
    <w:rsid w:val="0030509C"/>
    <w:rsid w:val="003055D3"/>
    <w:rsid w:val="003059F5"/>
    <w:rsid w:val="003063B2"/>
    <w:rsid w:val="003078D4"/>
    <w:rsid w:val="003079A5"/>
    <w:rsid w:val="0031000E"/>
    <w:rsid w:val="0031035F"/>
    <w:rsid w:val="00310A0A"/>
    <w:rsid w:val="00310C96"/>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0D8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0B3"/>
    <w:rsid w:val="00391D69"/>
    <w:rsid w:val="003927CA"/>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639"/>
    <w:rsid w:val="003A3AE4"/>
    <w:rsid w:val="003A3CA7"/>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4D4"/>
    <w:rsid w:val="003C0FC4"/>
    <w:rsid w:val="003C10EA"/>
    <w:rsid w:val="003C1266"/>
    <w:rsid w:val="003C176E"/>
    <w:rsid w:val="003C2195"/>
    <w:rsid w:val="003C23A8"/>
    <w:rsid w:val="003C2589"/>
    <w:rsid w:val="003C28A3"/>
    <w:rsid w:val="003C2E8F"/>
    <w:rsid w:val="003C304B"/>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78"/>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A95"/>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AFD"/>
    <w:rsid w:val="00433F0D"/>
    <w:rsid w:val="004349B7"/>
    <w:rsid w:val="004350FD"/>
    <w:rsid w:val="00435B59"/>
    <w:rsid w:val="00435F06"/>
    <w:rsid w:val="00436122"/>
    <w:rsid w:val="00436B16"/>
    <w:rsid w:val="00437F32"/>
    <w:rsid w:val="00440B6B"/>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A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2980"/>
    <w:rsid w:val="004A2D4F"/>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4C9"/>
    <w:rsid w:val="004F25BE"/>
    <w:rsid w:val="004F2826"/>
    <w:rsid w:val="004F29FD"/>
    <w:rsid w:val="004F305B"/>
    <w:rsid w:val="004F40FD"/>
    <w:rsid w:val="004F49AB"/>
    <w:rsid w:val="004F5285"/>
    <w:rsid w:val="004F54AA"/>
    <w:rsid w:val="004F566E"/>
    <w:rsid w:val="004F5683"/>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28B8"/>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CA6"/>
    <w:rsid w:val="00534210"/>
    <w:rsid w:val="00535233"/>
    <w:rsid w:val="005357D9"/>
    <w:rsid w:val="00535871"/>
    <w:rsid w:val="00535A32"/>
    <w:rsid w:val="00536146"/>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5"/>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D4C"/>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297"/>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87F24"/>
    <w:rsid w:val="005900F2"/>
    <w:rsid w:val="0059134B"/>
    <w:rsid w:val="005917EE"/>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561"/>
    <w:rsid w:val="006027D7"/>
    <w:rsid w:val="00602F9E"/>
    <w:rsid w:val="00603305"/>
    <w:rsid w:val="00603BE0"/>
    <w:rsid w:val="00604DDC"/>
    <w:rsid w:val="00605208"/>
    <w:rsid w:val="00606007"/>
    <w:rsid w:val="00606712"/>
    <w:rsid w:val="00606872"/>
    <w:rsid w:val="00606B28"/>
    <w:rsid w:val="00606D2A"/>
    <w:rsid w:val="00607175"/>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1BF7"/>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1F3"/>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6C0"/>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6CFC"/>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4AB2"/>
    <w:rsid w:val="0068511D"/>
    <w:rsid w:val="00685EC1"/>
    <w:rsid w:val="00686083"/>
    <w:rsid w:val="006862D9"/>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11B"/>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FA"/>
    <w:rsid w:val="006C10A8"/>
    <w:rsid w:val="006C10CB"/>
    <w:rsid w:val="006C2182"/>
    <w:rsid w:val="006C2650"/>
    <w:rsid w:val="006C2EA7"/>
    <w:rsid w:val="006C356A"/>
    <w:rsid w:val="006C372E"/>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4297"/>
    <w:rsid w:val="00704F3F"/>
    <w:rsid w:val="00705120"/>
    <w:rsid w:val="00705432"/>
    <w:rsid w:val="00705E07"/>
    <w:rsid w:val="00705E17"/>
    <w:rsid w:val="0070614C"/>
    <w:rsid w:val="0070663A"/>
    <w:rsid w:val="00706CB0"/>
    <w:rsid w:val="00707671"/>
    <w:rsid w:val="0070793D"/>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39E"/>
    <w:rsid w:val="00724F6D"/>
    <w:rsid w:val="00725A1E"/>
    <w:rsid w:val="00726422"/>
    <w:rsid w:val="007264EB"/>
    <w:rsid w:val="007265E1"/>
    <w:rsid w:val="0072677A"/>
    <w:rsid w:val="00726B20"/>
    <w:rsid w:val="00726C33"/>
    <w:rsid w:val="0072756C"/>
    <w:rsid w:val="00727AD3"/>
    <w:rsid w:val="00727D73"/>
    <w:rsid w:val="00727D7D"/>
    <w:rsid w:val="00727E5D"/>
    <w:rsid w:val="00727FD5"/>
    <w:rsid w:val="00727FE8"/>
    <w:rsid w:val="007304E7"/>
    <w:rsid w:val="0073194C"/>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001"/>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2F7A"/>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6D9B"/>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6E1"/>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38"/>
    <w:rsid w:val="00813BF2"/>
    <w:rsid w:val="0081408D"/>
    <w:rsid w:val="0081430E"/>
    <w:rsid w:val="00814ABB"/>
    <w:rsid w:val="008154E6"/>
    <w:rsid w:val="008156BA"/>
    <w:rsid w:val="008161BB"/>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2CF5"/>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10D"/>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135"/>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09F"/>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1C0"/>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1AF"/>
    <w:rsid w:val="008E27B8"/>
    <w:rsid w:val="008E27F5"/>
    <w:rsid w:val="008E2A73"/>
    <w:rsid w:val="008E2AE3"/>
    <w:rsid w:val="008E2E28"/>
    <w:rsid w:val="008E2F6B"/>
    <w:rsid w:val="008E34BD"/>
    <w:rsid w:val="008E3A7B"/>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2A76"/>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2B5"/>
    <w:rsid w:val="009623EA"/>
    <w:rsid w:val="00963853"/>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282"/>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39E3"/>
    <w:rsid w:val="009C4278"/>
    <w:rsid w:val="009C442B"/>
    <w:rsid w:val="009C46AA"/>
    <w:rsid w:val="009C4951"/>
    <w:rsid w:val="009C57F9"/>
    <w:rsid w:val="009C5806"/>
    <w:rsid w:val="009C5BC7"/>
    <w:rsid w:val="009C6004"/>
    <w:rsid w:val="009C6135"/>
    <w:rsid w:val="009C6616"/>
    <w:rsid w:val="009C6737"/>
    <w:rsid w:val="009C69F3"/>
    <w:rsid w:val="009C70A8"/>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5DCA"/>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0EB"/>
    <w:rsid w:val="009F7379"/>
    <w:rsid w:val="009F7FBE"/>
    <w:rsid w:val="00A000CE"/>
    <w:rsid w:val="00A002BB"/>
    <w:rsid w:val="00A00609"/>
    <w:rsid w:val="00A01519"/>
    <w:rsid w:val="00A0175B"/>
    <w:rsid w:val="00A0175E"/>
    <w:rsid w:val="00A019CF"/>
    <w:rsid w:val="00A0225E"/>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BA6"/>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78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1E6"/>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2EE"/>
    <w:rsid w:val="00AB33EB"/>
    <w:rsid w:val="00AB3D97"/>
    <w:rsid w:val="00AB3F4D"/>
    <w:rsid w:val="00AB3FDB"/>
    <w:rsid w:val="00AB40C5"/>
    <w:rsid w:val="00AB42B9"/>
    <w:rsid w:val="00AB44C1"/>
    <w:rsid w:val="00AB497B"/>
    <w:rsid w:val="00AB4FC1"/>
    <w:rsid w:val="00AB51A8"/>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4C38"/>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BF4"/>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97D"/>
    <w:rsid w:val="00B45BA2"/>
    <w:rsid w:val="00B474CA"/>
    <w:rsid w:val="00B47F01"/>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170"/>
    <w:rsid w:val="00B61508"/>
    <w:rsid w:val="00B61511"/>
    <w:rsid w:val="00B6156E"/>
    <w:rsid w:val="00B62897"/>
    <w:rsid w:val="00B62955"/>
    <w:rsid w:val="00B62C94"/>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303"/>
    <w:rsid w:val="00B95700"/>
    <w:rsid w:val="00B95A68"/>
    <w:rsid w:val="00B95BE6"/>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39C7"/>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655"/>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440"/>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C18"/>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03F"/>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527F"/>
    <w:rsid w:val="00C460CD"/>
    <w:rsid w:val="00C46154"/>
    <w:rsid w:val="00C465E0"/>
    <w:rsid w:val="00C46751"/>
    <w:rsid w:val="00C46D64"/>
    <w:rsid w:val="00C46E81"/>
    <w:rsid w:val="00C4709D"/>
    <w:rsid w:val="00C478CD"/>
    <w:rsid w:val="00C50080"/>
    <w:rsid w:val="00C50D0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870C2"/>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3DA8"/>
    <w:rsid w:val="00CA4076"/>
    <w:rsid w:val="00CA4119"/>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DD5"/>
    <w:rsid w:val="00CB6FEB"/>
    <w:rsid w:val="00CB751D"/>
    <w:rsid w:val="00CB79CF"/>
    <w:rsid w:val="00CB7F2B"/>
    <w:rsid w:val="00CB7F37"/>
    <w:rsid w:val="00CC005F"/>
    <w:rsid w:val="00CC00BD"/>
    <w:rsid w:val="00CC08A2"/>
    <w:rsid w:val="00CC08D8"/>
    <w:rsid w:val="00CC0921"/>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4EE"/>
    <w:rsid w:val="00CD07E2"/>
    <w:rsid w:val="00CD0D94"/>
    <w:rsid w:val="00CD0E82"/>
    <w:rsid w:val="00CD2043"/>
    <w:rsid w:val="00CD21A3"/>
    <w:rsid w:val="00CD24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6D6"/>
    <w:rsid w:val="00CF4710"/>
    <w:rsid w:val="00CF4F27"/>
    <w:rsid w:val="00CF580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20CA"/>
    <w:rsid w:val="00D12456"/>
    <w:rsid w:val="00D12547"/>
    <w:rsid w:val="00D12580"/>
    <w:rsid w:val="00D128EC"/>
    <w:rsid w:val="00D129AE"/>
    <w:rsid w:val="00D129F9"/>
    <w:rsid w:val="00D134A4"/>
    <w:rsid w:val="00D140E9"/>
    <w:rsid w:val="00D141ED"/>
    <w:rsid w:val="00D1438D"/>
    <w:rsid w:val="00D14B24"/>
    <w:rsid w:val="00D14DE7"/>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0D9E"/>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011"/>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3B6E"/>
    <w:rsid w:val="00D34288"/>
    <w:rsid w:val="00D3461D"/>
    <w:rsid w:val="00D34AAD"/>
    <w:rsid w:val="00D34DFE"/>
    <w:rsid w:val="00D350CF"/>
    <w:rsid w:val="00D352E5"/>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1DA4"/>
    <w:rsid w:val="00D4210F"/>
    <w:rsid w:val="00D4253D"/>
    <w:rsid w:val="00D4335D"/>
    <w:rsid w:val="00D435FD"/>
    <w:rsid w:val="00D43AD7"/>
    <w:rsid w:val="00D43DAC"/>
    <w:rsid w:val="00D4445D"/>
    <w:rsid w:val="00D44663"/>
    <w:rsid w:val="00D44B97"/>
    <w:rsid w:val="00D44CDA"/>
    <w:rsid w:val="00D44DF3"/>
    <w:rsid w:val="00D45D3B"/>
    <w:rsid w:val="00D45FAD"/>
    <w:rsid w:val="00D46026"/>
    <w:rsid w:val="00D460B4"/>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1F80"/>
    <w:rsid w:val="00D73BFE"/>
    <w:rsid w:val="00D73D1E"/>
    <w:rsid w:val="00D73FDF"/>
    <w:rsid w:val="00D74854"/>
    <w:rsid w:val="00D74904"/>
    <w:rsid w:val="00D74E11"/>
    <w:rsid w:val="00D75534"/>
    <w:rsid w:val="00D75F66"/>
    <w:rsid w:val="00D7625B"/>
    <w:rsid w:val="00D76466"/>
    <w:rsid w:val="00D76B36"/>
    <w:rsid w:val="00D76B38"/>
    <w:rsid w:val="00D76F92"/>
    <w:rsid w:val="00D77D2F"/>
    <w:rsid w:val="00D80309"/>
    <w:rsid w:val="00D8048C"/>
    <w:rsid w:val="00D80E19"/>
    <w:rsid w:val="00D814B3"/>
    <w:rsid w:val="00D814F5"/>
    <w:rsid w:val="00D822D5"/>
    <w:rsid w:val="00D83761"/>
    <w:rsid w:val="00D84592"/>
    <w:rsid w:val="00D85902"/>
    <w:rsid w:val="00D85C0E"/>
    <w:rsid w:val="00D85E74"/>
    <w:rsid w:val="00D86569"/>
    <w:rsid w:val="00D865EB"/>
    <w:rsid w:val="00D875BA"/>
    <w:rsid w:val="00D875DC"/>
    <w:rsid w:val="00D87CA3"/>
    <w:rsid w:val="00D87CC2"/>
    <w:rsid w:val="00D87F4C"/>
    <w:rsid w:val="00D908E7"/>
    <w:rsid w:val="00D90DD0"/>
    <w:rsid w:val="00D91108"/>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03CC"/>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B6F"/>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B7A"/>
    <w:rsid w:val="00E15CD9"/>
    <w:rsid w:val="00E15D36"/>
    <w:rsid w:val="00E176CF"/>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27FE8"/>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05C"/>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E59"/>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2E5"/>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169"/>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7C"/>
    <w:rsid w:val="00EC5ED1"/>
    <w:rsid w:val="00EC6DDF"/>
    <w:rsid w:val="00EC73BA"/>
    <w:rsid w:val="00ED0572"/>
    <w:rsid w:val="00ED0848"/>
    <w:rsid w:val="00ED0A3D"/>
    <w:rsid w:val="00ED0AB9"/>
    <w:rsid w:val="00ED0ABF"/>
    <w:rsid w:val="00ED0C83"/>
    <w:rsid w:val="00ED0DAC"/>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4F0E"/>
    <w:rsid w:val="00ED51F5"/>
    <w:rsid w:val="00ED57E7"/>
    <w:rsid w:val="00ED6879"/>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A90"/>
    <w:rsid w:val="00F02FC0"/>
    <w:rsid w:val="00F03347"/>
    <w:rsid w:val="00F03C7D"/>
    <w:rsid w:val="00F03EAB"/>
    <w:rsid w:val="00F0440C"/>
    <w:rsid w:val="00F04693"/>
    <w:rsid w:val="00F04839"/>
    <w:rsid w:val="00F0491F"/>
    <w:rsid w:val="00F053E6"/>
    <w:rsid w:val="00F05F1C"/>
    <w:rsid w:val="00F061CF"/>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7D5"/>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7984"/>
    <w:rsid w:val="00F3099A"/>
    <w:rsid w:val="00F315D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0FF"/>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09FD"/>
    <w:rsid w:val="00F71674"/>
    <w:rsid w:val="00F71831"/>
    <w:rsid w:val="00F72A00"/>
    <w:rsid w:val="00F73D03"/>
    <w:rsid w:val="00F74887"/>
    <w:rsid w:val="00F749A2"/>
    <w:rsid w:val="00F75294"/>
    <w:rsid w:val="00F76348"/>
    <w:rsid w:val="00F763E7"/>
    <w:rsid w:val="00F803ED"/>
    <w:rsid w:val="00F80513"/>
    <w:rsid w:val="00F807D8"/>
    <w:rsid w:val="00F80DF5"/>
    <w:rsid w:val="00F8114E"/>
    <w:rsid w:val="00F815CB"/>
    <w:rsid w:val="00F817F2"/>
    <w:rsid w:val="00F81E1B"/>
    <w:rsid w:val="00F82090"/>
    <w:rsid w:val="00F824B1"/>
    <w:rsid w:val="00F826F4"/>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799"/>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735"/>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38E3"/>
    <w:rsid w:val="00FE485E"/>
    <w:rsid w:val="00FE4C8C"/>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docId w15:val="{CB5C422F-3C0A-433E-96E4-B6048FBFF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59BF3-7369-4AE6-A5FE-C7D18D010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1863</TotalTime>
  <Pages>3</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Samsung</cp:lastModifiedBy>
  <cp:revision>67</cp:revision>
  <cp:lastPrinted>2017-08-10T13:20:00Z</cp:lastPrinted>
  <dcterms:created xsi:type="dcterms:W3CDTF">2019-08-15T16:05:00Z</dcterms:created>
  <dcterms:modified xsi:type="dcterms:W3CDTF">2019-11-07T01:42:00Z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